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5FB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eastAsia" w:ascii="黑体" w:hAnsi="黑体" w:eastAsia="黑体" w:cs="黑体"/>
          <w:sz w:val="20"/>
          <w:szCs w:val="20"/>
          <w:lang w:val="en-US" w:eastAsia="zh-CN"/>
        </w:rPr>
      </w:pPr>
      <w:r>
        <w:rPr>
          <w:rFonts w:hint="default" w:ascii="Times New Roman" w:hAnsi="Times New Roman" w:eastAsia="黑体" w:cs="Times New Roman"/>
          <w:sz w:val="20"/>
          <w:szCs w:val="20"/>
          <w:lang w:val="en-US" w:eastAsia="zh-CN"/>
        </w:rPr>
        <w:t>ICS</w:t>
      </w:r>
      <w:r>
        <w:rPr>
          <w:rFonts w:hint="eastAsia" w:ascii="黑体" w:hAnsi="黑体" w:eastAsia="黑体" w:cs="黑体"/>
          <w:sz w:val="20"/>
          <w:szCs w:val="20"/>
          <w:lang w:val="en-US" w:eastAsia="zh-CN"/>
        </w:rPr>
        <w:t xml:space="preserve"> 67.080.20</w:t>
      </w:r>
    </w:p>
    <w:p w14:paraId="18A24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textAlignment w:val="auto"/>
        <w:rPr>
          <w:rFonts w:hint="eastAsia" w:ascii="黑体" w:hAnsi="黑体" w:eastAsia="黑体" w:cs="黑体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0"/>
          <w:lang w:val="en-US" w:eastAsia="zh-CN"/>
        </w:rPr>
        <w:t>CCS B31</w:t>
      </w:r>
    </w:p>
    <w:p w14:paraId="75FEC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right"/>
        <w:textAlignment w:val="auto"/>
        <w:rPr>
          <w:rFonts w:hint="default" w:ascii="Times New Roman" w:hAnsi="Times New Roman" w:eastAsia="黑体" w:cs="Times New Roman"/>
          <w:b/>
          <w:bCs/>
          <w:sz w:val="96"/>
          <w:szCs w:val="96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bCs/>
          <w:sz w:val="96"/>
          <w:szCs w:val="96"/>
          <w:lang w:val="en-US" w:eastAsia="zh-CN"/>
        </w:rPr>
        <w:t>T/SZNB</w:t>
      </w:r>
    </w:p>
    <w:p w14:paraId="545C5AF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distribute"/>
        <w:textAlignment w:val="auto"/>
        <w:rPr>
          <w:rFonts w:hint="eastAsia" w:ascii="Times New Roman" w:hAnsi="Times New Roman" w:eastAsia="黑体" w:cs="Times New Roman"/>
          <w:b/>
          <w:bCs/>
          <w:sz w:val="72"/>
          <w:szCs w:val="72"/>
          <w:lang w:val="en-US" w:eastAsia="zh-CN"/>
        </w:rPr>
      </w:pPr>
      <w:r>
        <w:rPr>
          <w:rFonts w:hint="eastAsia" w:ascii="Times New Roman" w:hAnsi="Times New Roman" w:eastAsia="黑体" w:cs="Times New Roman"/>
          <w:b/>
          <w:bCs/>
          <w:sz w:val="72"/>
          <w:szCs w:val="72"/>
          <w:lang w:val="en-US" w:eastAsia="zh-CN"/>
        </w:rPr>
        <w:t>团体标准</w:t>
      </w:r>
    </w:p>
    <w:p w14:paraId="3D5DB4C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right"/>
        <w:textAlignment w:val="auto"/>
        <w:rPr>
          <w:rFonts w:hint="eastAsia" w:ascii="Times New Roman" w:hAnsi="Times New Roman" w:eastAsia="黑体" w:cs="Times New Roman"/>
          <w:b/>
          <w:bCs/>
          <w:sz w:val="28"/>
          <w:szCs w:val="28"/>
          <w:lang w:val="en-US" w:eastAsia="zh-CN"/>
        </w:rPr>
      </w:pPr>
    </w:p>
    <w:p w14:paraId="5BDEA73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right"/>
        <w:textAlignment w:val="auto"/>
        <w:rPr>
          <w:rFonts w:hint="default" w:ascii="Times New Roman" w:hAnsi="Times New Roman" w:eastAsia="黑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28"/>
          <w:szCs w:val="28"/>
          <w:lang w:val="en-US" w:eastAsia="zh-CN"/>
        </w:rPr>
        <w:t>T/SZNB XXXXX-2025</w:t>
      </w:r>
    </w:p>
    <w:p w14:paraId="5713C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left"/>
        <w:textAlignment w:val="auto"/>
        <w:rPr>
          <w:rFonts w:hint="eastAsia" w:ascii="Times New Roman" w:hAnsi="Times New Roman" w:eastAsia="黑体" w:cs="Times New Roman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Times New Roman" w:hAnsi="Times New Roman" w:eastAsia="黑体" w:cs="Times New Roman"/>
          <w:b/>
          <w:bCs/>
          <w:sz w:val="28"/>
          <w:szCs w:val="28"/>
          <w:u w:val="single"/>
          <w:lang w:val="en-US" w:eastAsia="zh-CN"/>
        </w:rPr>
        <w:t xml:space="preserve">                                                                      </w:t>
      </w:r>
    </w:p>
    <w:p w14:paraId="083487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left"/>
        <w:textAlignment w:val="auto"/>
        <w:rPr>
          <w:rFonts w:hint="eastAsia" w:ascii="Times New Roman" w:hAnsi="Times New Roman" w:eastAsia="黑体" w:cs="Times New Roman"/>
          <w:b/>
          <w:bCs/>
          <w:sz w:val="28"/>
          <w:szCs w:val="28"/>
          <w:u w:val="none"/>
          <w:lang w:val="en-US" w:eastAsia="zh-CN"/>
        </w:rPr>
      </w:pPr>
    </w:p>
    <w:p w14:paraId="583264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left"/>
        <w:textAlignment w:val="auto"/>
        <w:rPr>
          <w:rFonts w:hint="eastAsia" w:ascii="Times New Roman" w:hAnsi="Times New Roman" w:eastAsia="黑体" w:cs="Times New Roman"/>
          <w:b/>
          <w:bCs/>
          <w:sz w:val="28"/>
          <w:szCs w:val="28"/>
          <w:u w:val="none"/>
          <w:lang w:val="en-US" w:eastAsia="zh-CN"/>
        </w:rPr>
      </w:pPr>
    </w:p>
    <w:p w14:paraId="0EC5B1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left"/>
        <w:textAlignment w:val="auto"/>
        <w:rPr>
          <w:rFonts w:hint="eastAsia" w:ascii="Times New Roman" w:hAnsi="Times New Roman" w:eastAsia="黑体" w:cs="Times New Roman"/>
          <w:b/>
          <w:bCs/>
          <w:sz w:val="28"/>
          <w:szCs w:val="28"/>
          <w:u w:val="none"/>
          <w:lang w:val="en-US" w:eastAsia="zh-CN"/>
        </w:rPr>
      </w:pPr>
    </w:p>
    <w:p w14:paraId="6C0120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left"/>
        <w:textAlignment w:val="auto"/>
        <w:rPr>
          <w:rFonts w:hint="eastAsia" w:ascii="Times New Roman" w:hAnsi="Times New Roman" w:eastAsia="黑体" w:cs="Times New Roman"/>
          <w:b/>
          <w:bCs/>
          <w:sz w:val="28"/>
          <w:szCs w:val="28"/>
          <w:u w:val="none"/>
          <w:lang w:val="en-US" w:eastAsia="zh-CN"/>
        </w:rPr>
      </w:pPr>
    </w:p>
    <w:p w14:paraId="07AE1A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left"/>
        <w:textAlignment w:val="auto"/>
        <w:rPr>
          <w:rFonts w:hint="eastAsia" w:ascii="Times New Roman" w:hAnsi="Times New Roman" w:eastAsia="黑体" w:cs="Times New Roman"/>
          <w:b/>
          <w:bCs/>
          <w:sz w:val="28"/>
          <w:szCs w:val="28"/>
          <w:u w:val="none"/>
          <w:lang w:val="en-US" w:eastAsia="zh-CN"/>
        </w:rPr>
      </w:pPr>
    </w:p>
    <w:p w14:paraId="522581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left"/>
        <w:textAlignment w:val="auto"/>
        <w:rPr>
          <w:rFonts w:hint="eastAsia" w:ascii="Times New Roman" w:hAnsi="Times New Roman" w:eastAsia="黑体" w:cs="Times New Roman"/>
          <w:b/>
          <w:bCs/>
          <w:sz w:val="28"/>
          <w:szCs w:val="28"/>
          <w:u w:val="none"/>
          <w:lang w:val="en-US" w:eastAsia="zh-CN"/>
        </w:rPr>
      </w:pPr>
    </w:p>
    <w:p w14:paraId="4ADF37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left"/>
        <w:textAlignment w:val="auto"/>
        <w:rPr>
          <w:rFonts w:hint="eastAsia" w:ascii="Times New Roman" w:hAnsi="Times New Roman" w:eastAsia="黑体" w:cs="Times New Roman"/>
          <w:b/>
          <w:bCs/>
          <w:sz w:val="28"/>
          <w:szCs w:val="28"/>
          <w:u w:val="none"/>
          <w:lang w:val="en-US" w:eastAsia="zh-CN"/>
        </w:rPr>
      </w:pPr>
    </w:p>
    <w:p w14:paraId="088EFB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left"/>
        <w:textAlignment w:val="auto"/>
        <w:rPr>
          <w:rFonts w:hint="eastAsia" w:ascii="Times New Roman" w:hAnsi="Times New Roman" w:eastAsia="黑体" w:cs="Times New Roman"/>
          <w:b/>
          <w:bCs/>
          <w:sz w:val="28"/>
          <w:szCs w:val="28"/>
          <w:u w:val="none"/>
          <w:lang w:val="en-US" w:eastAsia="zh-CN"/>
        </w:rPr>
      </w:pPr>
    </w:p>
    <w:p w14:paraId="6CA3B3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left"/>
        <w:textAlignment w:val="auto"/>
        <w:rPr>
          <w:rFonts w:hint="eastAsia" w:ascii="Times New Roman" w:hAnsi="Times New Roman" w:eastAsia="黑体" w:cs="Times New Roman"/>
          <w:b/>
          <w:bCs/>
          <w:sz w:val="28"/>
          <w:szCs w:val="28"/>
          <w:u w:val="none"/>
          <w:lang w:val="en-US" w:eastAsia="zh-CN"/>
        </w:rPr>
      </w:pPr>
    </w:p>
    <w:p w14:paraId="760815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tLeast"/>
        <w:jc w:val="left"/>
        <w:textAlignment w:val="auto"/>
        <w:rPr>
          <w:rFonts w:hint="eastAsia" w:ascii="Times New Roman" w:hAnsi="Times New Roman" w:eastAsia="黑体" w:cs="Times New Roman"/>
          <w:b/>
          <w:bCs/>
          <w:sz w:val="28"/>
          <w:szCs w:val="28"/>
          <w:u w:val="none"/>
          <w:lang w:val="en-US" w:eastAsia="zh-CN"/>
        </w:rPr>
      </w:pPr>
    </w:p>
    <w:p w14:paraId="27FB58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Times New Roman" w:hAnsi="Times New Roman" w:eastAsia="黑体" w:cs="Times New Roman"/>
          <w:b w:val="0"/>
          <w:bCs w:val="0"/>
          <w:sz w:val="52"/>
          <w:szCs w:val="52"/>
          <w:u w:val="none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52"/>
          <w:szCs w:val="52"/>
          <w:u w:val="none"/>
          <w:lang w:val="en-US" w:eastAsia="zh-CN"/>
        </w:rPr>
        <w:t>蔬菜分级标准 西兰花</w:t>
      </w:r>
    </w:p>
    <w:p w14:paraId="65676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outlineLvl w:val="0"/>
        <w:rPr>
          <w:rFonts w:hint="default" w:ascii="Times New Roman" w:hAnsi="Times New Roman" w:eastAsia="黑体" w:cs="Times New Roman"/>
          <w:b/>
          <w:bCs/>
          <w:sz w:val="28"/>
          <w:szCs w:val="28"/>
          <w:u w:val="none"/>
          <w:lang w:val="en-US" w:eastAsia="zh-CN"/>
        </w:rPr>
      </w:pPr>
      <w:bookmarkStart w:id="0" w:name="_Toc30667"/>
      <w:r>
        <w:rPr>
          <w:rFonts w:hint="eastAsia" w:ascii="Times New Roman" w:hAnsi="Times New Roman" w:eastAsia="黑体" w:cs="Times New Roman"/>
          <w:b w:val="0"/>
          <w:bCs w:val="0"/>
          <w:sz w:val="44"/>
          <w:szCs w:val="44"/>
          <w:u w:val="none"/>
          <w:lang w:val="en-US" w:eastAsia="zh-CN"/>
        </w:rPr>
        <w:t>Vegetable grading standard  Broccoli</w:t>
      </w:r>
      <w:bookmarkEnd w:id="0"/>
    </w:p>
    <w:p w14:paraId="3CED494B">
      <w:pPr>
        <w:wordWrap/>
        <w:jc w:val="center"/>
        <w:rPr>
          <w:rFonts w:hint="eastAsia" w:ascii="Times New Roman" w:hAnsi="Times New Roman" w:eastAsia="黑体" w:cs="Times New Roman"/>
          <w:b/>
          <w:bCs/>
          <w:sz w:val="28"/>
          <w:szCs w:val="28"/>
          <w:lang w:val="en-US" w:eastAsia="zh-CN"/>
        </w:rPr>
      </w:pPr>
    </w:p>
    <w:p w14:paraId="679FEA85">
      <w:pPr>
        <w:wordWrap/>
        <w:jc w:val="left"/>
        <w:rPr>
          <w:rFonts w:hint="eastAsia" w:ascii="Times New Roman" w:hAnsi="Times New Roman" w:eastAsia="黑体" w:cs="Times New Roman"/>
          <w:b/>
          <w:bCs/>
          <w:sz w:val="28"/>
          <w:szCs w:val="28"/>
          <w:lang w:val="en-US" w:eastAsia="zh-CN"/>
        </w:rPr>
      </w:pPr>
    </w:p>
    <w:p w14:paraId="07C6746A">
      <w:pPr>
        <w:wordWrap/>
        <w:jc w:val="left"/>
        <w:rPr>
          <w:rFonts w:hint="eastAsia" w:ascii="Times New Roman" w:hAnsi="Times New Roman" w:eastAsia="黑体" w:cs="Times New Roman"/>
          <w:b/>
          <w:bCs/>
          <w:sz w:val="28"/>
          <w:szCs w:val="28"/>
          <w:lang w:val="en-US" w:eastAsia="zh-CN"/>
        </w:rPr>
      </w:pPr>
    </w:p>
    <w:p w14:paraId="2E1DB487">
      <w:pPr>
        <w:wordWrap/>
        <w:jc w:val="left"/>
        <w:rPr>
          <w:rFonts w:hint="eastAsia" w:ascii="Times New Roman" w:hAnsi="Times New Roman" w:eastAsia="黑体" w:cs="Times New Roman"/>
          <w:b/>
          <w:bCs/>
          <w:sz w:val="28"/>
          <w:szCs w:val="28"/>
          <w:lang w:val="en-US" w:eastAsia="zh-CN"/>
        </w:rPr>
      </w:pPr>
    </w:p>
    <w:p w14:paraId="2F0CFAE1">
      <w:pPr>
        <w:wordWrap/>
        <w:jc w:val="left"/>
        <w:rPr>
          <w:rFonts w:hint="eastAsia" w:ascii="Times New Roman" w:hAnsi="Times New Roman" w:eastAsia="黑体" w:cs="Times New Roman"/>
          <w:b/>
          <w:bCs/>
          <w:sz w:val="28"/>
          <w:szCs w:val="28"/>
          <w:lang w:val="en-US" w:eastAsia="zh-CN"/>
        </w:rPr>
      </w:pPr>
    </w:p>
    <w:p w14:paraId="7777756F">
      <w:pPr>
        <w:wordWrap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u w:val="singl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u w:val="single"/>
          <w:lang w:val="en-US" w:eastAsia="zh-CN"/>
        </w:rPr>
        <w:t>XXXX-XX-XX发布                                XXXX-XX-XX实施</w:t>
      </w:r>
    </w:p>
    <w:p w14:paraId="692893A4">
      <w:pPr>
        <w:wordWrap/>
        <w:jc w:val="left"/>
        <w:rPr>
          <w:rFonts w:hint="eastAsia" w:ascii="Times New Roman" w:hAnsi="Times New Roman" w:eastAsia="黑体" w:cs="Times New Roman"/>
          <w:b w:val="0"/>
          <w:bCs w:val="0"/>
          <w:sz w:val="28"/>
          <w:szCs w:val="28"/>
          <w:u w:val="none"/>
          <w:lang w:val="en-US" w:eastAsia="zh-CN"/>
        </w:rPr>
      </w:pPr>
    </w:p>
    <w:p w14:paraId="10B982EC">
      <w:pPr>
        <w:wordWrap/>
        <w:jc w:val="center"/>
        <w:rPr>
          <w:rFonts w:hint="eastAsia" w:ascii="Times New Roman" w:hAnsi="Times New Roman" w:eastAsia="黑体" w:cs="Times New Roman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u w:val="none"/>
          <w:lang w:val="en-US" w:eastAsia="zh-CN"/>
        </w:rPr>
        <w:t>深圳市农业产业化龙头企业协会     发布</w:t>
      </w:r>
    </w:p>
    <w:p w14:paraId="5AB9D4ED">
      <w:pPr>
        <w:wordWrap/>
        <w:jc w:val="center"/>
        <w:rPr>
          <w:rFonts w:hint="eastAsia" w:ascii="Times New Roman" w:hAnsi="Times New Roman" w:eastAsia="黑体" w:cs="Times New Roman"/>
          <w:b/>
          <w:bCs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黑体" w:cs="Times New Roman"/>
          <w:b/>
          <w:bCs/>
          <w:sz w:val="32"/>
          <w:szCs w:val="32"/>
          <w:u w:val="none"/>
          <w:lang w:val="en-US" w:eastAsia="zh-CN"/>
        </w:rPr>
        <w:t xml:space="preserve"> </w:t>
      </w:r>
    </w:p>
    <w:p w14:paraId="0DE629BA">
      <w:pPr>
        <w:wordWrap/>
        <w:jc w:val="righ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1836A0CB">
      <w:pPr>
        <w:wordWrap/>
        <w:jc w:val="right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318F5658">
      <w:pPr>
        <w:spacing w:beforeLines="0" w:afterLines="0"/>
        <w:jc w:val="right"/>
        <w:rPr>
          <w:rFonts w:hint="default" w:ascii="Times New Roman" w:hAnsi="Times New Roman" w:eastAsia="黑体"/>
          <w:sz w:val="20"/>
          <w:szCs w:val="20"/>
        </w:rPr>
      </w:pPr>
      <w:r>
        <w:rPr>
          <w:rFonts w:hint="eastAsia" w:ascii="黑体" w:hAnsi="黑体" w:eastAsia="黑体" w:cs="黑体"/>
          <w:sz w:val="20"/>
          <w:szCs w:val="20"/>
        </w:rPr>
        <w:t>T/SZNB XXXXX-XXXX</w:t>
      </w:r>
    </w:p>
    <w:p w14:paraId="620BD446">
      <w:pPr>
        <w:spacing w:beforeLines="0" w:afterLines="0"/>
        <w:jc w:val="right"/>
        <w:rPr>
          <w:rFonts w:hint="default" w:ascii="Times New Roman" w:hAnsi="Times New Roman" w:eastAsia="黑体"/>
          <w:sz w:val="20"/>
          <w:szCs w:val="20"/>
        </w:rPr>
      </w:pPr>
    </w:p>
    <w:p w14:paraId="384650A4">
      <w:pPr>
        <w:spacing w:beforeLines="0" w:afterLines="0"/>
        <w:jc w:val="right"/>
        <w:rPr>
          <w:rFonts w:hint="default" w:ascii="Times New Roman" w:hAnsi="Times New Roman" w:eastAsia="黑体"/>
          <w:sz w:val="20"/>
          <w:szCs w:val="20"/>
        </w:rPr>
      </w:pPr>
    </w:p>
    <w:p w14:paraId="710BEDDE">
      <w:pPr>
        <w:spacing w:beforeLines="0" w:afterLines="0"/>
        <w:jc w:val="right"/>
        <w:rPr>
          <w:rFonts w:hint="default" w:ascii="Times New Roman" w:hAnsi="Times New Roman" w:eastAsia="黑体"/>
          <w:sz w:val="20"/>
          <w:szCs w:val="20"/>
        </w:rPr>
      </w:pPr>
    </w:p>
    <w:p w14:paraId="31BE0DA5">
      <w:pPr>
        <w:spacing w:beforeLines="0" w:afterLines="0"/>
        <w:jc w:val="center"/>
        <w:rPr>
          <w:rFonts w:hint="eastAsia" w:ascii="Times New Roman" w:hAnsi="Times New Roman" w:eastAsia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目   录</w:t>
      </w: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55573"/>
        <w15:color w:val="DBDBDB"/>
        <w:docPartObj>
          <w:docPartGallery w:val="Table of Contents"/>
          <w:docPartUnique/>
        </w:docPartObj>
      </w:sdtPr>
      <w:sdtEndPr>
        <w:rPr>
          <w:rFonts w:hint="eastAsia" w:ascii="Times New Roman" w:hAnsi="Times New Roman" w:eastAsia="黑体" w:cstheme="minorBidi"/>
          <w:kern w:val="2"/>
          <w:sz w:val="21"/>
          <w:szCs w:val="32"/>
          <w:lang w:val="en-US" w:eastAsia="zh-CN" w:bidi="ar-SA"/>
        </w:rPr>
      </w:sdtEndPr>
      <w:sdtContent>
        <w:p w14:paraId="1BDEE185">
          <w:pPr>
            <w:pStyle w:val="4"/>
            <w:tabs>
              <w:tab w:val="right" w:leader="dot" w:pos="9746"/>
            </w:tabs>
          </w:pPr>
          <w:r>
            <w:rPr>
              <w:rFonts w:hint="eastAsia" w:ascii="Times New Roman" w:hAnsi="Times New Roman" w:eastAsia="黑体"/>
              <w:sz w:val="32"/>
              <w:szCs w:val="32"/>
              <w:lang w:val="en-US" w:eastAsia="zh-CN"/>
            </w:rPr>
            <w:fldChar w:fldCharType="begin"/>
          </w:r>
          <w:r>
            <w:rPr>
              <w:rFonts w:hint="eastAsia" w:ascii="Times New Roman" w:hAnsi="Times New Roman" w:eastAsia="黑体"/>
              <w:sz w:val="32"/>
              <w:szCs w:val="32"/>
              <w:lang w:val="en-US" w:eastAsia="zh-CN"/>
            </w:rPr>
            <w:instrText xml:space="preserve">TOC \o "1-1" \h \u </w:instrText>
          </w:r>
          <w:r>
            <w:rPr>
              <w:rFonts w:hint="eastAsia" w:ascii="Times New Roman" w:hAnsi="Times New Roman" w:eastAsia="黑体"/>
              <w:sz w:val="32"/>
              <w:szCs w:val="32"/>
              <w:lang w:val="en-US" w:eastAsia="zh-CN"/>
            </w:rPr>
            <w:fldChar w:fldCharType="separate"/>
          </w:r>
        </w:p>
        <w:p w14:paraId="5A4DA4CF">
          <w:pPr>
            <w:pStyle w:val="4"/>
            <w:tabs>
              <w:tab w:val="right" w:leader="dot" w:pos="9746"/>
            </w:tabs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</w:pP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instrText xml:space="preserve"> HYPERLINK \l _Toc16701 </w:instrTex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bCs w:val="0"/>
              <w:sz w:val="20"/>
              <w:szCs w:val="20"/>
              <w:lang w:val="en-US" w:eastAsia="zh-CN"/>
            </w:rPr>
            <w:t>前   言</w: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instrText xml:space="preserve"> PAGEREF _Toc16701 \h </w:instrTex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t>1</w: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end"/>
          </w:r>
        </w:p>
        <w:p w14:paraId="72886BC5">
          <w:pPr>
            <w:pStyle w:val="4"/>
            <w:tabs>
              <w:tab w:val="right" w:leader="dot" w:pos="9746"/>
            </w:tabs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</w:pP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instrText xml:space="preserve"> HYPERLINK \l _Toc10760 </w:instrTex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bCs w:val="0"/>
              <w:sz w:val="20"/>
              <w:szCs w:val="20"/>
              <w:lang w:val="en-US" w:eastAsia="zh-CN"/>
            </w:rPr>
            <w:t>1  范围</w: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instrText xml:space="preserve"> PAGEREF _Toc10760 \h </w:instrTex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t>2</w: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end"/>
          </w:r>
        </w:p>
        <w:p w14:paraId="49CB0218">
          <w:pPr>
            <w:pStyle w:val="4"/>
            <w:tabs>
              <w:tab w:val="right" w:leader="dot" w:pos="9746"/>
            </w:tabs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</w:pP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instrText xml:space="preserve"> HYPERLINK \l _Toc10291 </w:instrTex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bCs w:val="0"/>
              <w:sz w:val="20"/>
              <w:szCs w:val="20"/>
              <w:lang w:val="en-US" w:eastAsia="zh-CN"/>
            </w:rPr>
            <w:t>2  规范性引用文件</w: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instrText xml:space="preserve"> PAGEREF _Toc10291 \h </w:instrTex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t>2</w: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end"/>
          </w:r>
        </w:p>
        <w:p w14:paraId="6505F3D6">
          <w:pPr>
            <w:pStyle w:val="4"/>
            <w:tabs>
              <w:tab w:val="right" w:leader="dot" w:pos="9746"/>
            </w:tabs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</w:pP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instrText xml:space="preserve"> HYPERLINK \l _Toc11326 </w:instrTex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bCs w:val="0"/>
              <w:sz w:val="20"/>
              <w:szCs w:val="20"/>
              <w:lang w:val="en-US" w:eastAsia="zh-CN"/>
            </w:rPr>
            <w:t>3  术语和定义</w: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instrText xml:space="preserve"> PAGEREF _Toc11326 \h </w:instrTex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t>2</w: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end"/>
          </w:r>
        </w:p>
        <w:p w14:paraId="61912DEC">
          <w:pPr>
            <w:pStyle w:val="4"/>
            <w:tabs>
              <w:tab w:val="right" w:leader="dot" w:pos="9746"/>
            </w:tabs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</w:pP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instrText xml:space="preserve"> HYPERLINK \l _Toc27627 </w:instrTex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bCs w:val="0"/>
              <w:sz w:val="20"/>
              <w:szCs w:val="20"/>
              <w:lang w:val="en-US" w:eastAsia="zh-CN"/>
            </w:rPr>
            <w:t>4  质量要求</w: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instrText xml:space="preserve"> PAGEREF _Toc27627 \h </w:instrTex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t>2</w: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end"/>
          </w:r>
        </w:p>
        <w:p w14:paraId="3D682529">
          <w:pPr>
            <w:pStyle w:val="4"/>
            <w:tabs>
              <w:tab w:val="right" w:leader="dot" w:pos="9746"/>
            </w:tabs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</w:pP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instrText xml:space="preserve"> HYPERLINK \l _Toc13097 </w:instrTex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bCs w:val="0"/>
              <w:sz w:val="20"/>
              <w:szCs w:val="20"/>
              <w:lang w:val="en-US" w:eastAsia="zh-CN"/>
            </w:rPr>
            <w:t>5  检验方法</w: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instrText xml:space="preserve"> PAGEREF _Toc13097 \h </w:instrTex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t>4</w: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end"/>
          </w:r>
        </w:p>
        <w:p w14:paraId="4D7C6040">
          <w:pPr>
            <w:pStyle w:val="4"/>
            <w:tabs>
              <w:tab w:val="right" w:leader="dot" w:pos="9746"/>
            </w:tabs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</w:pP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instrText xml:space="preserve"> HYPERLINK \l _Toc19857 </w:instrTex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bCs w:val="0"/>
              <w:sz w:val="20"/>
              <w:szCs w:val="20"/>
              <w:lang w:val="en-US" w:eastAsia="zh-CN"/>
            </w:rPr>
            <w:t>6  检验规则</w: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instrText xml:space="preserve"> PAGEREF _Toc19857 \h </w:instrTex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t>5</w: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end"/>
          </w:r>
        </w:p>
        <w:p w14:paraId="190D0A9F">
          <w:pPr>
            <w:pStyle w:val="4"/>
            <w:tabs>
              <w:tab w:val="right" w:leader="dot" w:pos="9746"/>
            </w:tabs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</w:pP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instrText xml:space="preserve"> HYPERLINK \l _Toc25886 </w:instrTex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bCs w:val="0"/>
              <w:sz w:val="20"/>
              <w:szCs w:val="20"/>
              <w:lang w:val="en-US" w:eastAsia="zh-CN"/>
            </w:rPr>
            <w:t>7  包装</w: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instrText xml:space="preserve"> PAGEREF _Toc25886 \h </w:instrTex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t>5</w: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end"/>
          </w:r>
        </w:p>
        <w:p w14:paraId="19BC628A">
          <w:pPr>
            <w:pStyle w:val="4"/>
            <w:tabs>
              <w:tab w:val="right" w:leader="dot" w:pos="9746"/>
            </w:tabs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</w:pP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instrText xml:space="preserve"> HYPERLINK \l _Toc1180 </w:instrTex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bCs w:val="0"/>
              <w:sz w:val="20"/>
              <w:szCs w:val="20"/>
              <w:lang w:val="en-US" w:eastAsia="zh-CN"/>
            </w:rPr>
            <w:t>8  标签与标识</w: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instrText xml:space="preserve"> PAGEREF _Toc1180 \h </w:instrTex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t>6</w: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end"/>
          </w:r>
        </w:p>
        <w:p w14:paraId="21D01DD1">
          <w:pPr>
            <w:pStyle w:val="4"/>
            <w:tabs>
              <w:tab w:val="right" w:leader="dot" w:pos="9746"/>
            </w:tabs>
          </w:pP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instrText xml:space="preserve"> HYPERLINK \l _Toc25699 </w:instrTex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bCs w:val="0"/>
              <w:sz w:val="20"/>
              <w:szCs w:val="20"/>
              <w:lang w:val="en-US" w:eastAsia="zh-CN"/>
            </w:rPr>
            <w:t>9  贮存与运输</w: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instrText xml:space="preserve"> PAGEREF _Toc25699 \h </w:instrTex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t>6</w:t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0"/>
              <w:szCs w:val="20"/>
              <w:lang w:val="en-US" w:eastAsia="zh-CN"/>
            </w:rPr>
            <w:fldChar w:fldCharType="end"/>
          </w:r>
        </w:p>
        <w:p w14:paraId="20FBB743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eastAsia" w:ascii="Times New Roman" w:hAnsi="Times New Roman" w:eastAsia="黑体" w:cstheme="minorBidi"/>
              <w:kern w:val="2"/>
              <w:sz w:val="21"/>
              <w:szCs w:val="32"/>
              <w:lang w:val="en-US" w:eastAsia="zh-CN" w:bidi="ar-SA"/>
            </w:rPr>
          </w:pPr>
          <w:r>
            <w:rPr>
              <w:rFonts w:hint="eastAsia" w:ascii="Times New Roman" w:hAnsi="Times New Roman" w:eastAsia="黑体"/>
              <w:szCs w:val="32"/>
              <w:lang w:val="en-US" w:eastAsia="zh-CN"/>
            </w:rPr>
            <w:fldChar w:fldCharType="end"/>
          </w:r>
        </w:p>
      </w:sdtContent>
    </w:sdt>
    <w:p w14:paraId="27791DF2">
      <w:pPr>
        <w:spacing w:beforeLines="0" w:afterLines="0"/>
        <w:jc w:val="left"/>
        <w:rPr>
          <w:rFonts w:hint="eastAsia" w:ascii="Times New Roman" w:hAnsi="Times New Roman" w:eastAsia="黑体" w:cstheme="minorBidi"/>
          <w:kern w:val="2"/>
          <w:sz w:val="21"/>
          <w:szCs w:val="32"/>
          <w:lang w:val="en-US" w:eastAsia="zh-CN" w:bidi="ar-SA"/>
        </w:rPr>
      </w:pPr>
    </w:p>
    <w:p w14:paraId="44D59E94">
      <w:pPr>
        <w:adjustRightInd w:val="0"/>
        <w:snapToGrid w:val="0"/>
        <w:spacing w:beforeLines="0" w:afterLines="0" w:line="460" w:lineRule="exact"/>
        <w:ind w:firstLine="640" w:firstLineChars="200"/>
        <w:jc w:val="left"/>
        <w:rPr>
          <w:rFonts w:hint="eastAsia" w:ascii="Times New Roman" w:hAnsi="Times New Roman" w:eastAsia="黑体"/>
          <w:sz w:val="32"/>
          <w:szCs w:val="32"/>
        </w:rPr>
      </w:pPr>
    </w:p>
    <w:p w14:paraId="3D1E37FB">
      <w:pPr>
        <w:wordWrap/>
        <w:jc w:val="right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sectPr>
          <w:footerReference r:id="rId3" w:type="default"/>
          <w:pgSz w:w="11906" w:h="16838"/>
          <w:pgMar w:top="1440" w:right="1080" w:bottom="1440" w:left="1080" w:header="851" w:footer="992" w:gutter="0"/>
          <w:pgNumType w:start="1"/>
          <w:cols w:space="425" w:num="1"/>
          <w:docGrid w:type="lines" w:linePitch="312" w:charSpace="0"/>
        </w:sectPr>
      </w:pPr>
    </w:p>
    <w:p w14:paraId="2016A22A">
      <w:pPr>
        <w:wordWrap/>
        <w:jc w:val="righ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T/SZNB XXXXX-XXXX</w:t>
      </w:r>
    </w:p>
    <w:p w14:paraId="3549857E">
      <w:pPr>
        <w:wordWrap/>
        <w:jc w:val="righ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16BEE671">
      <w:pPr>
        <w:wordWrap/>
        <w:jc w:val="righ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151C48A9">
      <w:pPr>
        <w:wordWrap/>
        <w:jc w:val="righ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7688099F">
      <w:pPr>
        <w:wordWrap/>
        <w:jc w:val="center"/>
        <w:outlineLvl w:val="0"/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u w:val="none"/>
          <w:lang w:val="en-US" w:eastAsia="zh-CN"/>
        </w:rPr>
      </w:pPr>
      <w:bookmarkStart w:id="1" w:name="_Toc16701"/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u w:val="none"/>
          <w:lang w:val="en-US" w:eastAsia="zh-CN"/>
        </w:rPr>
        <w:t>前   言</w:t>
      </w:r>
      <w:bookmarkEnd w:id="1"/>
    </w:p>
    <w:p w14:paraId="5D33ED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jc w:val="left"/>
        <w:textAlignment w:val="auto"/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u w:val="none"/>
          <w:lang w:val="en-US" w:eastAsia="zh-CN"/>
        </w:rPr>
      </w:pPr>
    </w:p>
    <w:p w14:paraId="4AB7BF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240" w:lineRule="auto"/>
        <w:ind w:right="0" w:firstLine="436" w:firstLineChars="200"/>
        <w:textAlignment w:val="auto"/>
        <w:rPr>
          <w:rFonts w:hint="eastAsia" w:ascii="宋体" w:hAnsi="宋体" w:eastAsia="宋体" w:cs="宋体"/>
          <w:spacing w:val="-1"/>
          <w:sz w:val="20"/>
          <w:szCs w:val="20"/>
        </w:rPr>
      </w:pPr>
      <w:r>
        <w:rPr>
          <w:rFonts w:hint="eastAsia" w:ascii="宋体" w:hAnsi="宋体" w:eastAsia="宋体" w:cs="宋体"/>
          <w:spacing w:val="9"/>
          <w:sz w:val="20"/>
          <w:szCs w:val="20"/>
        </w:rPr>
        <w:t>本文件按照</w:t>
      </w:r>
      <w:r>
        <w:rPr>
          <w:rFonts w:hint="eastAsia" w:ascii="宋体" w:hAnsi="宋体" w:eastAsia="宋体" w:cs="宋体"/>
          <w:sz w:val="20"/>
          <w:szCs w:val="20"/>
        </w:rPr>
        <w:t>GB</w:t>
      </w:r>
      <w:r>
        <w:rPr>
          <w:rFonts w:hint="eastAsia" w:ascii="宋体" w:hAnsi="宋体" w:eastAsia="宋体" w:cs="宋体"/>
          <w:spacing w:val="9"/>
          <w:sz w:val="20"/>
          <w:szCs w:val="20"/>
        </w:rPr>
        <w:t>/T 1.1-2020《标准化工作导则 第1部分：标准化文件的结构</w:t>
      </w:r>
      <w:r>
        <w:rPr>
          <w:rFonts w:hint="eastAsia" w:ascii="宋体" w:hAnsi="宋体" w:eastAsia="宋体" w:cs="宋体"/>
          <w:spacing w:val="8"/>
          <w:sz w:val="20"/>
          <w:szCs w:val="20"/>
        </w:rPr>
        <w:t>和起草规则》的规定起</w:t>
      </w:r>
      <w:r>
        <w:rPr>
          <w:rFonts w:hint="eastAsia" w:ascii="宋体" w:hAnsi="宋体" w:eastAsia="宋体" w:cs="宋体"/>
          <w:spacing w:val="-1"/>
          <w:sz w:val="20"/>
          <w:szCs w:val="20"/>
        </w:rPr>
        <w:t>草。</w:t>
      </w:r>
    </w:p>
    <w:p w14:paraId="6B5A1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240" w:lineRule="auto"/>
        <w:ind w:right="0" w:firstLine="396" w:firstLineChars="200"/>
        <w:textAlignment w:val="auto"/>
        <w:rPr>
          <w:rFonts w:hint="eastAsia" w:ascii="宋体" w:hAnsi="宋体" w:eastAsia="宋体" w:cs="宋体"/>
          <w:spacing w:val="-1"/>
          <w:sz w:val="20"/>
          <w:szCs w:val="20"/>
        </w:rPr>
      </w:pPr>
      <w:r>
        <w:rPr>
          <w:rFonts w:hint="eastAsia" w:ascii="宋体" w:hAnsi="宋体" w:eastAsia="宋体" w:cs="宋体"/>
          <w:spacing w:val="-1"/>
          <w:sz w:val="20"/>
          <w:szCs w:val="20"/>
        </w:rPr>
        <w:t>请注意本文件的某些内容可能涉及专利</w:t>
      </w:r>
      <w:r>
        <w:rPr>
          <w:rFonts w:hint="eastAsia" w:ascii="宋体" w:hAnsi="宋体" w:eastAsia="宋体" w:cs="宋体"/>
          <w:spacing w:val="-1"/>
          <w:sz w:val="20"/>
          <w:szCs w:val="20"/>
          <w:lang w:eastAsia="zh-CN"/>
        </w:rPr>
        <w:t>，</w:t>
      </w:r>
      <w:r>
        <w:rPr>
          <w:rFonts w:hint="eastAsia" w:ascii="宋体" w:hAnsi="宋体" w:eastAsia="宋体" w:cs="宋体"/>
          <w:spacing w:val="-1"/>
          <w:sz w:val="20"/>
          <w:szCs w:val="20"/>
        </w:rPr>
        <w:t>本文件的发布机构不</w:t>
      </w:r>
      <w:r>
        <w:rPr>
          <w:rFonts w:hint="eastAsia" w:ascii="宋体" w:hAnsi="宋体" w:eastAsia="宋体" w:cs="宋体"/>
          <w:spacing w:val="-1"/>
          <w:sz w:val="20"/>
          <w:szCs w:val="20"/>
          <w:lang w:eastAsia="zh-CN"/>
        </w:rPr>
        <w:t>承担</w:t>
      </w:r>
      <w:r>
        <w:rPr>
          <w:rFonts w:hint="eastAsia" w:ascii="宋体" w:hAnsi="宋体" w:eastAsia="宋体" w:cs="宋体"/>
          <w:spacing w:val="-1"/>
          <w:sz w:val="20"/>
          <w:szCs w:val="20"/>
          <w:lang w:val="en-US" w:eastAsia="zh-CN"/>
        </w:rPr>
        <w:t>识别</w:t>
      </w:r>
      <w:r>
        <w:rPr>
          <w:rFonts w:hint="eastAsia" w:ascii="宋体" w:hAnsi="宋体" w:eastAsia="宋体" w:cs="宋体"/>
          <w:spacing w:val="-1"/>
          <w:sz w:val="20"/>
          <w:szCs w:val="20"/>
        </w:rPr>
        <w:t>专利的责任。</w:t>
      </w:r>
    </w:p>
    <w:p w14:paraId="2CEA05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240" w:lineRule="auto"/>
        <w:ind w:right="0" w:firstLine="396" w:firstLineChars="200"/>
        <w:textAlignment w:val="auto"/>
        <w:rPr>
          <w:rFonts w:hint="eastAsia" w:ascii="宋体" w:hAnsi="宋体" w:eastAsia="宋体" w:cs="宋体"/>
          <w:spacing w:val="-1"/>
          <w:sz w:val="20"/>
          <w:szCs w:val="20"/>
        </w:rPr>
      </w:pPr>
      <w:r>
        <w:rPr>
          <w:rFonts w:hint="eastAsia" w:ascii="宋体" w:hAnsi="宋体" w:eastAsia="宋体" w:cs="宋体"/>
          <w:spacing w:val="-1"/>
          <w:sz w:val="20"/>
          <w:szCs w:val="20"/>
        </w:rPr>
        <w:t>本文件由深圳农产品质量提升联盟提出。</w:t>
      </w:r>
    </w:p>
    <w:p w14:paraId="58210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240" w:lineRule="auto"/>
        <w:ind w:right="0" w:firstLine="396" w:firstLineChars="200"/>
        <w:textAlignment w:val="auto"/>
        <w:rPr>
          <w:rFonts w:hint="eastAsia" w:ascii="宋体" w:hAnsi="宋体" w:eastAsia="宋体" w:cs="宋体"/>
          <w:spacing w:val="-1"/>
          <w:sz w:val="20"/>
          <w:szCs w:val="20"/>
        </w:rPr>
      </w:pPr>
      <w:r>
        <w:rPr>
          <w:rFonts w:hint="eastAsia" w:ascii="宋体" w:hAnsi="宋体" w:eastAsia="宋体" w:cs="宋体"/>
          <w:spacing w:val="-1"/>
          <w:sz w:val="20"/>
          <w:szCs w:val="20"/>
        </w:rPr>
        <w:t>本文件由深圳市农业产业化龙头企业协会归口。</w:t>
      </w:r>
    </w:p>
    <w:p w14:paraId="3CAB8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240" w:lineRule="auto"/>
        <w:ind w:right="0" w:firstLine="396" w:firstLineChars="200"/>
        <w:textAlignment w:val="auto"/>
        <w:rPr>
          <w:rFonts w:hint="eastAsia" w:ascii="宋体" w:hAnsi="宋体" w:eastAsia="宋体" w:cs="宋体"/>
          <w:spacing w:val="-1"/>
          <w:sz w:val="20"/>
          <w:szCs w:val="20"/>
          <w:lang w:eastAsia="zh-CN"/>
        </w:rPr>
      </w:pPr>
      <w:r>
        <w:rPr>
          <w:rFonts w:hint="eastAsia" w:ascii="宋体" w:hAnsi="宋体" w:eastAsia="宋体" w:cs="宋体"/>
          <w:spacing w:val="-1"/>
          <w:sz w:val="20"/>
          <w:szCs w:val="20"/>
        </w:rPr>
        <w:t>本文件起草单位：深圳市茂雄万家农副产品有限公司、深圳市中鼎检测技术有限公司、广东省中鼎检测技术有限公司、泉州市鼎凯检测技术有限公司、深圳市农业产业化龙头企业协会</w:t>
      </w:r>
      <w:r>
        <w:rPr>
          <w:rFonts w:hint="eastAsia" w:ascii="宋体" w:hAnsi="宋体" w:eastAsia="宋体" w:cs="宋体"/>
          <w:spacing w:val="-1"/>
          <w:sz w:val="20"/>
          <w:szCs w:val="20"/>
          <w:lang w:eastAsia="zh-CN"/>
        </w:rPr>
        <w:t>。</w:t>
      </w:r>
    </w:p>
    <w:p w14:paraId="36FA52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240" w:lineRule="auto"/>
        <w:ind w:right="0" w:firstLine="396" w:firstLineChars="200"/>
        <w:textAlignment w:val="auto"/>
        <w:rPr>
          <w:rFonts w:hint="eastAsia" w:ascii="宋体" w:hAnsi="宋体" w:eastAsia="宋体" w:cs="宋体"/>
          <w:spacing w:val="-1"/>
          <w:sz w:val="20"/>
          <w:szCs w:val="20"/>
        </w:rPr>
      </w:pPr>
      <w:r>
        <w:rPr>
          <w:rFonts w:hint="eastAsia" w:ascii="宋体" w:hAnsi="宋体" w:eastAsia="宋体" w:cs="宋体"/>
          <w:spacing w:val="-1"/>
          <w:sz w:val="20"/>
          <w:szCs w:val="20"/>
        </w:rPr>
        <w:t>本文件主要起草人：XXXXXX</w:t>
      </w:r>
    </w:p>
    <w:p w14:paraId="537842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240" w:lineRule="auto"/>
        <w:ind w:right="0"/>
        <w:textAlignment w:val="auto"/>
        <w:rPr>
          <w:rFonts w:hint="default" w:ascii="宋体" w:hAnsi="宋体" w:eastAsia="宋体" w:cs="宋体"/>
          <w:spacing w:val="-1"/>
          <w:sz w:val="20"/>
          <w:szCs w:val="20"/>
          <w:lang w:val="en-US" w:eastAsia="zh-CN"/>
        </w:rPr>
      </w:pPr>
    </w:p>
    <w:p w14:paraId="49038225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40A71E4F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6BBF78BF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78857B46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62875288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2782B525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2CF991BA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45230729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2E96614C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7095E00B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0F4B2633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37C3A04F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541B9EDC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37DD9D20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099C020B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3DC3D950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51D97BB6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67DFE04A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31952783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68F88AA1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114CB8AB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440961D8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5190A7AB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35BEA100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40F0CF90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663DDD76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04085990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6FA49C82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5815E10F">
      <w:pPr>
        <w:wordWrap/>
        <w:jc w:val="lef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394E608D">
      <w:pPr>
        <w:wordWrap/>
        <w:jc w:val="righ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T/SZNB XXXXX-XXXX</w:t>
      </w:r>
    </w:p>
    <w:p w14:paraId="3904CA40">
      <w:pPr>
        <w:wordWrap/>
        <w:jc w:val="righ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2F7F4756">
      <w:pPr>
        <w:wordWrap/>
        <w:jc w:val="righ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499122D5">
      <w:pPr>
        <w:wordWrap/>
        <w:jc w:val="right"/>
        <w:rPr>
          <w:rFonts w:hint="default" w:ascii="Times New Roman" w:hAnsi="Times New Roman" w:eastAsia="黑体" w:cs="Times New Roman"/>
          <w:b w:val="0"/>
          <w:bCs w:val="0"/>
          <w:sz w:val="20"/>
          <w:szCs w:val="20"/>
          <w:u w:val="none"/>
          <w:lang w:val="en-US" w:eastAsia="zh-CN"/>
        </w:rPr>
      </w:pPr>
    </w:p>
    <w:p w14:paraId="2C5B24AD">
      <w:pPr>
        <w:wordWrap/>
        <w:jc w:val="center"/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u w:val="none"/>
          <w:lang w:val="en-US" w:eastAsia="zh-CN"/>
        </w:rPr>
        <w:t>蔬菜分级标准 西兰花</w:t>
      </w:r>
    </w:p>
    <w:p w14:paraId="6605656F">
      <w:pPr>
        <w:wordWrap/>
        <w:jc w:val="left"/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u w:val="none"/>
          <w:lang w:val="en-US" w:eastAsia="zh-CN"/>
        </w:rPr>
      </w:pPr>
    </w:p>
    <w:p w14:paraId="03810E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0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bookmarkStart w:id="2" w:name="_Toc10760"/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1  范围</w:t>
      </w:r>
      <w:bookmarkEnd w:id="2"/>
    </w:p>
    <w:p w14:paraId="01994C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67E0A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本文件规定了西兰花的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  <w:t>术语和定义、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  <w:t>质量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  <w:t>要求、检验方法、检验规则、包装、标签与标识、贮存与运输的要求。</w:t>
      </w:r>
    </w:p>
    <w:p w14:paraId="70DAB4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  <w:t>本文件适用于西兰花鲜蔬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的分级，加工使用的西兰花除外。</w:t>
      </w:r>
    </w:p>
    <w:p w14:paraId="4F4E9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480587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2B9CA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0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bookmarkStart w:id="3" w:name="_Toc10291"/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2  规范性引用文件</w:t>
      </w:r>
      <w:bookmarkEnd w:id="3"/>
    </w:p>
    <w:p w14:paraId="16E86C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4F774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0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下列文件中的</w:t>
      </w:r>
      <w:r>
        <w:rPr>
          <w:rFonts w:hint="default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  <w:t>内容通过文中的规范性引用而构成本文件必不可少的条款。其中，注日期的引用文件，仅该日期对应的版本适用于本文件；不注日期的引用文件，其最新版本（包括所有的修改单）适用于本文件。</w:t>
      </w:r>
    </w:p>
    <w:p w14:paraId="0A880D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  <w:t>GB/T 191  包装储运图示标志</w:t>
      </w:r>
    </w:p>
    <w:p w14:paraId="6F683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  <w:t>GB 2762  食品安全国家标准 食品中污染物限量</w:t>
      </w:r>
    </w:p>
    <w:p w14:paraId="093BE4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  <w:t>GB 2763  食品安全国家标准 食品中农药最大残留限量</w:t>
      </w:r>
    </w:p>
    <w:p w14:paraId="33F80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  <w:t>GB 2763.1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  <w:t xml:space="preserve"> 食品安全国家标准 食品中2,4-滴丁酸钠盐等112种农药最大残留限量</w:t>
      </w:r>
    </w:p>
    <w:p w14:paraId="5931F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  <w:t>GB 4806.7  食品安全国家标准 食品接触用塑料材料及制品</w:t>
      </w:r>
    </w:p>
    <w:p w14:paraId="3C459D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  <w:t>GB 5009.3  食品安全国家标准 食品中水分的测定</w:t>
      </w:r>
    </w:p>
    <w:p w14:paraId="08A6C1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  <w:t>GB 5009.5  食品安全国家标准 食品中蛋白质的测定</w:t>
      </w:r>
    </w:p>
    <w:p w14:paraId="5D6553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  <w:t>GB 5009.86  食品安全国家标准 食品中抗坏血酸的测定</w:t>
      </w:r>
    </w:p>
    <w:p w14:paraId="1F0E34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  <w:t>GB 5009.88  食品安全国家标准 食品中膳食纤维的测定</w:t>
      </w:r>
    </w:p>
    <w:p w14:paraId="2280B0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  <w:t>GB/T 6543  运输包装用单瓦楞纸箱和双瓦楞纸箱</w:t>
      </w:r>
    </w:p>
    <w:p w14:paraId="292EAA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  <w:t>NY/T 941  青花菜等级规格</w:t>
      </w:r>
    </w:p>
    <w:p w14:paraId="7E3396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  <w:t>NY/T 2103  蔬菜抽样技术规范</w:t>
      </w:r>
    </w:p>
    <w:p w14:paraId="09C114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  <w:t>JJF 1070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  <w:t xml:space="preserve"> 定量包装商品净含量计量检验规则</w:t>
      </w:r>
    </w:p>
    <w:p w14:paraId="261CB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  <w:t>国家市场监督管理总局令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  <w:t>2023年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  <w:t>第70号《定量包装商品计量监督管理办法》</w:t>
      </w:r>
    </w:p>
    <w:p w14:paraId="2AE7F4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0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0"/>
          <w:szCs w:val="20"/>
          <w:highlight w:val="none"/>
          <w:u w:val="none"/>
          <w:lang w:val="en-US" w:eastAsia="zh-CN"/>
        </w:rPr>
      </w:pPr>
    </w:p>
    <w:p w14:paraId="47463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default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17189F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0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bookmarkStart w:id="4" w:name="_Toc11326"/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3  术语和定义</w:t>
      </w:r>
      <w:bookmarkEnd w:id="4"/>
    </w:p>
    <w:p w14:paraId="69C663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5FD1E0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下列术语和定义适用于本文件。</w:t>
      </w:r>
    </w:p>
    <w:p w14:paraId="18F763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776FE4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default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3.1  西兰花 Broccoli</w:t>
      </w:r>
    </w:p>
    <w:p w14:paraId="76B55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6F9FE8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十字花科芸苔属蔬菜，以肥嫩的花器作为食用部分，又名绿花菜、青花菜、绿花椰菜、木立花椰菜，为甘蓝和花椰菜演化中间的一个变种，主茎和侧枝均能结花球，所结花球为青绿色。</w:t>
      </w:r>
    </w:p>
    <w:p w14:paraId="3045CE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2DC79A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default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089F60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0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bookmarkStart w:id="5" w:name="_Toc27627"/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4  质量要求</w:t>
      </w:r>
      <w:bookmarkEnd w:id="5"/>
    </w:p>
    <w:p w14:paraId="232209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1F200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4.1  追溯要求</w:t>
      </w:r>
    </w:p>
    <w:p w14:paraId="14880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default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0E6C3D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具有承诺达标合格证或其它追溯码可追溯至种植基地。</w:t>
      </w:r>
    </w:p>
    <w:p w14:paraId="7594B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7409BBDF">
      <w:pPr>
        <w:wordWrap/>
        <w:jc w:val="right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T/SZNB XXXXX-XXXX</w:t>
      </w:r>
    </w:p>
    <w:p w14:paraId="2E3437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4.2  安全要求</w:t>
      </w:r>
    </w:p>
    <w:p w14:paraId="63DBF6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345EAA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default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4.2.1</w:t>
      </w:r>
      <w:r>
        <w:rPr>
          <w:rFonts w:hint="default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 xml:space="preserve">  污染物限量应符合GB 2762的规定。</w:t>
      </w:r>
    </w:p>
    <w:p w14:paraId="58EEA3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4.2.2</w:t>
      </w:r>
      <w:r>
        <w:rPr>
          <w:rFonts w:hint="default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 xml:space="preserve">  农药最大残留限量应符合GB 2763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、GB 2763.1</w:t>
      </w:r>
      <w:r>
        <w:rPr>
          <w:rFonts w:hint="default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的规定。</w:t>
      </w:r>
    </w:p>
    <w:p w14:paraId="7B4C1C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59CE4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4.3  品质分级要求</w:t>
      </w:r>
    </w:p>
    <w:p w14:paraId="75B30E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414656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default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西兰花分为三个等级，各品质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分级</w:t>
      </w:r>
      <w:r>
        <w:rPr>
          <w:rFonts w:hint="default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要求见表1。</w:t>
      </w:r>
    </w:p>
    <w:p w14:paraId="1F506AA6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6" w:beforeLines="50" w:after="156" w:afterLines="50"/>
        <w:ind w:firstLine="0" w:firstLineChars="0"/>
        <w:jc w:val="center"/>
        <w:textAlignment w:val="auto"/>
        <w:rPr>
          <w:rFonts w:hint="eastAsia" w:ascii="黑体" w:hAnsi="黑体" w:eastAsia="黑体"/>
          <w:color w:val="0D0D0D"/>
          <w:lang w:val="en-US" w:eastAsia="zh-CN"/>
        </w:rPr>
      </w:pPr>
      <w:r>
        <w:rPr>
          <w:rFonts w:hint="eastAsia" w:ascii="黑体" w:hAnsi="黑体" w:eastAsia="黑体"/>
          <w:color w:val="0D0D0D"/>
          <w:sz w:val="20"/>
          <w:szCs w:val="20"/>
        </w:rPr>
        <w:t>表</w:t>
      </w:r>
      <w:r>
        <w:rPr>
          <w:rFonts w:hint="eastAsia" w:ascii="Times New Roman" w:eastAsia="黑体"/>
          <w:color w:val="0D0D0D"/>
          <w:sz w:val="20"/>
          <w:szCs w:val="20"/>
          <w:lang w:val="en-US" w:eastAsia="zh-CN"/>
        </w:rPr>
        <w:t>1</w:t>
      </w:r>
      <w:r>
        <w:rPr>
          <w:rFonts w:ascii="黑体" w:hAnsi="黑体" w:eastAsia="黑体"/>
          <w:color w:val="0D0D0D"/>
          <w:sz w:val="20"/>
          <w:szCs w:val="20"/>
        </w:rPr>
        <w:t xml:space="preserve">  </w:t>
      </w:r>
      <w:r>
        <w:rPr>
          <w:rFonts w:hint="eastAsia" w:ascii="黑体" w:hAnsi="黑体" w:eastAsia="黑体"/>
          <w:color w:val="0D0D0D"/>
          <w:sz w:val="20"/>
          <w:szCs w:val="20"/>
          <w:lang w:val="en-US" w:eastAsia="zh-CN"/>
        </w:rPr>
        <w:t>西兰花品质分级要求</w:t>
      </w:r>
    </w:p>
    <w:tbl>
      <w:tblPr>
        <w:tblStyle w:val="5"/>
        <w:tblW w:w="99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7"/>
        <w:gridCol w:w="2304"/>
        <w:gridCol w:w="2628"/>
        <w:gridCol w:w="2459"/>
      </w:tblGrid>
      <w:tr w14:paraId="7A4E6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67" w:type="dxa"/>
            <w:vMerge w:val="restart"/>
            <w:vAlign w:val="center"/>
          </w:tcPr>
          <w:p w14:paraId="5EEB68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 xml:space="preserve">项 </w:t>
            </w:r>
            <w:r>
              <w:rPr>
                <w:rStyle w:val="9"/>
                <w:rFonts w:hint="eastAsia" w:asciiTheme="minorEastAsia" w:hAnsiTheme="minorEastAsia" w:eastAsiaTheme="minorEastAsia" w:cstheme="minorEastAsia"/>
                <w:sz w:val="20"/>
                <w:szCs w:val="20"/>
                <w:lang w:bidi="ar"/>
              </w:rPr>
              <w:t xml:space="preserve"> 目</w:t>
            </w:r>
          </w:p>
        </w:tc>
        <w:tc>
          <w:tcPr>
            <w:tcW w:w="7391" w:type="dxa"/>
            <w:gridSpan w:val="3"/>
            <w:vAlign w:val="center"/>
          </w:tcPr>
          <w:p w14:paraId="6EBC08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 xml:space="preserve">等 </w:t>
            </w:r>
            <w:r>
              <w:rPr>
                <w:rStyle w:val="9"/>
                <w:rFonts w:hint="eastAsia" w:asciiTheme="minorEastAsia" w:hAnsiTheme="minorEastAsia" w:eastAsiaTheme="minorEastAsia" w:cstheme="minorEastAsia"/>
                <w:sz w:val="20"/>
                <w:szCs w:val="20"/>
                <w:lang w:bidi="ar"/>
              </w:rPr>
              <w:t xml:space="preserve">     级</w:t>
            </w:r>
          </w:p>
        </w:tc>
      </w:tr>
      <w:tr w14:paraId="4719B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67" w:type="dxa"/>
            <w:vMerge w:val="continue"/>
            <w:vAlign w:val="center"/>
          </w:tcPr>
          <w:p w14:paraId="410700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2304" w:type="dxa"/>
            <w:vAlign w:val="center"/>
          </w:tcPr>
          <w:p w14:paraId="530003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A+</w:t>
            </w:r>
          </w:p>
        </w:tc>
        <w:tc>
          <w:tcPr>
            <w:tcW w:w="2628" w:type="dxa"/>
            <w:vAlign w:val="center"/>
          </w:tcPr>
          <w:p w14:paraId="315AB4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A</w:t>
            </w:r>
          </w:p>
        </w:tc>
        <w:tc>
          <w:tcPr>
            <w:tcW w:w="2459" w:type="dxa"/>
            <w:vAlign w:val="center"/>
          </w:tcPr>
          <w:p w14:paraId="3A1618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B</w:t>
            </w:r>
          </w:p>
        </w:tc>
      </w:tr>
      <w:tr w14:paraId="2B6DD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67" w:type="dxa"/>
            <w:vAlign w:val="center"/>
          </w:tcPr>
          <w:p w14:paraId="71A6DC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感官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要求</w:t>
            </w:r>
          </w:p>
        </w:tc>
        <w:tc>
          <w:tcPr>
            <w:tcW w:w="2304" w:type="dxa"/>
            <w:vAlign w:val="center"/>
          </w:tcPr>
          <w:p w14:paraId="23DC78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外观一致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花球圆整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完好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花球紧实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不松散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色泽浓绿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一致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花蕾细小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紧实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未开放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花茎鲜嫩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分支花茎短。无机械损伤</w:t>
            </w:r>
          </w:p>
        </w:tc>
        <w:tc>
          <w:tcPr>
            <w:tcW w:w="2628" w:type="dxa"/>
            <w:vAlign w:val="center"/>
          </w:tcPr>
          <w:p w14:paraId="3B3EC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外观基本一致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花球较圆整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完好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花球尚紧实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四周略有松散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色泽浓绿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基本一致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花蕾较紧实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但尚未开放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花茎鲜嫩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分支花茎短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。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允许有机械损伤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但不明显</w:t>
            </w:r>
          </w:p>
        </w:tc>
        <w:tc>
          <w:tcPr>
            <w:tcW w:w="2459" w:type="dxa"/>
            <w:vAlign w:val="center"/>
          </w:tcPr>
          <w:p w14:paraId="30D6BC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外观基本一致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花球完好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花球略松散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色泽略显黄绿或有少量异色花蕾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花有少量开放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；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花茎较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嫩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分支花茎较长。允许有机械损伤，但不严重</w:t>
            </w:r>
          </w:p>
        </w:tc>
      </w:tr>
      <w:tr w14:paraId="61B14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567" w:type="dxa"/>
            <w:vAlign w:val="center"/>
          </w:tcPr>
          <w:p w14:paraId="13FCA0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烹调性能</w:t>
            </w:r>
          </w:p>
        </w:tc>
        <w:tc>
          <w:tcPr>
            <w:tcW w:w="2304" w:type="dxa"/>
            <w:vAlign w:val="center"/>
          </w:tcPr>
          <w:p w14:paraId="065A06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颜色翠绿均匀，无变色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；清脆爽口，无纤维感；滋味清甜，无涩味；香气清新自然</w:t>
            </w:r>
          </w:p>
        </w:tc>
        <w:tc>
          <w:tcPr>
            <w:tcW w:w="2628" w:type="dxa"/>
            <w:vAlign w:val="center"/>
          </w:tcPr>
          <w:p w14:paraId="1C4D5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整体呈绿色，局部发黄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；稍软但仍脆，略有纤维感；微甜，有轻微苦涩；香气较淡</w:t>
            </w:r>
          </w:p>
        </w:tc>
        <w:tc>
          <w:tcPr>
            <w:tcW w:w="2459" w:type="dxa"/>
            <w:vAlign w:val="center"/>
          </w:tcPr>
          <w:p w14:paraId="1174AF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整体发黄或泛褐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；偏软，纤维感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明显；甜味不显，涩味明显；有微弱硫味</w:t>
            </w:r>
          </w:p>
        </w:tc>
      </w:tr>
      <w:tr w14:paraId="5BD22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67" w:type="dxa"/>
            <w:vAlign w:val="center"/>
          </w:tcPr>
          <w:p w14:paraId="4B79F9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水分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g/100g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       </w:t>
            </w:r>
            <w:r>
              <w:rPr>
                <w:rStyle w:val="9"/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 w:bidi="ar"/>
              </w:rPr>
              <w:t>≥</w:t>
            </w:r>
          </w:p>
        </w:tc>
        <w:tc>
          <w:tcPr>
            <w:tcW w:w="2304" w:type="dxa"/>
            <w:vAlign w:val="center"/>
          </w:tcPr>
          <w:p w14:paraId="0693FF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90</w:t>
            </w:r>
          </w:p>
        </w:tc>
        <w:tc>
          <w:tcPr>
            <w:tcW w:w="2628" w:type="dxa"/>
            <w:vAlign w:val="center"/>
          </w:tcPr>
          <w:p w14:paraId="6AEBFE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85</w:t>
            </w:r>
          </w:p>
        </w:tc>
        <w:tc>
          <w:tcPr>
            <w:tcW w:w="2459" w:type="dxa"/>
            <w:vAlign w:val="center"/>
          </w:tcPr>
          <w:p w14:paraId="1D4C84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80</w:t>
            </w:r>
          </w:p>
        </w:tc>
      </w:tr>
      <w:tr w14:paraId="4DC4D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67" w:type="dxa"/>
            <w:vAlign w:val="center"/>
          </w:tcPr>
          <w:p w14:paraId="4569E5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膳食纤维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g/100g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   ≤</w:t>
            </w:r>
          </w:p>
        </w:tc>
        <w:tc>
          <w:tcPr>
            <w:tcW w:w="2304" w:type="dxa"/>
            <w:vAlign w:val="center"/>
          </w:tcPr>
          <w:p w14:paraId="6BF8E9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1.0</w:t>
            </w:r>
          </w:p>
        </w:tc>
        <w:tc>
          <w:tcPr>
            <w:tcW w:w="2628" w:type="dxa"/>
            <w:vAlign w:val="center"/>
          </w:tcPr>
          <w:p w14:paraId="1D65F1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1.2</w:t>
            </w:r>
          </w:p>
        </w:tc>
        <w:tc>
          <w:tcPr>
            <w:tcW w:w="2459" w:type="dxa"/>
            <w:vAlign w:val="center"/>
          </w:tcPr>
          <w:p w14:paraId="25A91A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1.4</w:t>
            </w:r>
          </w:p>
        </w:tc>
      </w:tr>
      <w:tr w14:paraId="00E23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67" w:type="dxa"/>
            <w:vAlign w:val="center"/>
          </w:tcPr>
          <w:p w14:paraId="2D988C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蛋白质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g/100g</w:t>
            </w:r>
            <w:r>
              <w:rPr>
                <w:rStyle w:val="9"/>
                <w:rFonts w:hint="eastAsia" w:asciiTheme="minorEastAsia" w:hAnsiTheme="minorEastAsia" w:eastAsiaTheme="minorEastAsia" w:cstheme="minorEastAsia"/>
                <w:sz w:val="20"/>
                <w:szCs w:val="20"/>
                <w:lang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    </w:t>
            </w:r>
            <w:r>
              <w:rPr>
                <w:rStyle w:val="9"/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 w:bidi="ar"/>
              </w:rPr>
              <w:t>≥</w:t>
            </w:r>
          </w:p>
        </w:tc>
        <w:tc>
          <w:tcPr>
            <w:tcW w:w="2304" w:type="dxa"/>
            <w:vAlign w:val="center"/>
          </w:tcPr>
          <w:p w14:paraId="72676D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3.5</w:t>
            </w:r>
          </w:p>
        </w:tc>
        <w:tc>
          <w:tcPr>
            <w:tcW w:w="2628" w:type="dxa"/>
            <w:vAlign w:val="center"/>
          </w:tcPr>
          <w:p w14:paraId="363C83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2.5</w:t>
            </w:r>
          </w:p>
        </w:tc>
        <w:tc>
          <w:tcPr>
            <w:tcW w:w="2459" w:type="dxa"/>
            <w:vAlign w:val="center"/>
          </w:tcPr>
          <w:p w14:paraId="367181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2.0</w:t>
            </w:r>
          </w:p>
        </w:tc>
      </w:tr>
      <w:tr w14:paraId="4172B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567" w:type="dxa"/>
            <w:vAlign w:val="center"/>
          </w:tcPr>
          <w:p w14:paraId="29BA40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维生素C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mg/100g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  </w:t>
            </w:r>
            <w:r>
              <w:rPr>
                <w:rStyle w:val="9"/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 w:bidi="ar"/>
              </w:rPr>
              <w:t>≥</w:t>
            </w:r>
          </w:p>
        </w:tc>
        <w:tc>
          <w:tcPr>
            <w:tcW w:w="2304" w:type="dxa"/>
            <w:vAlign w:val="center"/>
          </w:tcPr>
          <w:p w14:paraId="660F4B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2628" w:type="dxa"/>
            <w:vAlign w:val="center"/>
          </w:tcPr>
          <w:p w14:paraId="3BE4A9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55</w:t>
            </w:r>
          </w:p>
        </w:tc>
        <w:tc>
          <w:tcPr>
            <w:tcW w:w="2459" w:type="dxa"/>
            <w:vAlign w:val="center"/>
          </w:tcPr>
          <w:p w14:paraId="4974E1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</w:tbl>
    <w:p w14:paraId="4FC50B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37A502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714DC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4.4  规格要求</w:t>
      </w:r>
    </w:p>
    <w:p w14:paraId="01B53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288E42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default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西兰花花球分为大(L)、中(M)、小(S)三个规格，具体要求见表2。</w:t>
      </w:r>
    </w:p>
    <w:p w14:paraId="004A4D0B"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56" w:beforeLines="50" w:after="156" w:afterLines="50"/>
        <w:ind w:firstLine="0" w:firstLineChars="0"/>
        <w:jc w:val="center"/>
        <w:textAlignment w:val="auto"/>
        <w:rPr>
          <w:rFonts w:hint="eastAsia" w:ascii="黑体" w:hAnsi="黑体" w:eastAsia="黑体"/>
          <w:color w:val="0D0D0D"/>
          <w:sz w:val="20"/>
          <w:szCs w:val="20"/>
          <w:lang w:val="en-US" w:eastAsia="zh-CN"/>
        </w:rPr>
      </w:pPr>
      <w:r>
        <w:rPr>
          <w:rFonts w:hint="eastAsia" w:ascii="黑体" w:hAnsi="黑体" w:eastAsia="黑体"/>
          <w:color w:val="0D0D0D"/>
          <w:sz w:val="20"/>
          <w:szCs w:val="20"/>
        </w:rPr>
        <w:t>表</w:t>
      </w:r>
      <w:r>
        <w:rPr>
          <w:rFonts w:hint="eastAsia" w:ascii="Times New Roman" w:eastAsia="黑体"/>
          <w:color w:val="0D0D0D"/>
          <w:sz w:val="20"/>
          <w:szCs w:val="20"/>
          <w:lang w:val="en-US" w:eastAsia="zh-CN"/>
        </w:rPr>
        <w:t>2</w:t>
      </w:r>
      <w:r>
        <w:rPr>
          <w:rFonts w:ascii="黑体" w:hAnsi="黑体" w:eastAsia="黑体"/>
          <w:color w:val="0D0D0D"/>
          <w:sz w:val="20"/>
          <w:szCs w:val="20"/>
        </w:rPr>
        <w:t xml:space="preserve">  </w:t>
      </w:r>
      <w:r>
        <w:rPr>
          <w:rFonts w:hint="eastAsia" w:ascii="黑体" w:hAnsi="黑体" w:eastAsia="黑体"/>
          <w:color w:val="0D0D0D"/>
          <w:sz w:val="20"/>
          <w:szCs w:val="20"/>
          <w:lang w:val="en-US" w:eastAsia="zh-CN"/>
        </w:rPr>
        <w:t>西兰花规格要求</w:t>
      </w:r>
    </w:p>
    <w:tbl>
      <w:tblPr>
        <w:tblStyle w:val="5"/>
        <w:tblW w:w="99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1"/>
        <w:gridCol w:w="1560"/>
        <w:gridCol w:w="2628"/>
        <w:gridCol w:w="2459"/>
      </w:tblGrid>
      <w:tr w14:paraId="31AB2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11" w:type="dxa"/>
            <w:vAlign w:val="center"/>
          </w:tcPr>
          <w:p w14:paraId="2E2249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规格</w:t>
            </w:r>
          </w:p>
        </w:tc>
        <w:tc>
          <w:tcPr>
            <w:tcW w:w="1560" w:type="dxa"/>
            <w:vAlign w:val="center"/>
          </w:tcPr>
          <w:p w14:paraId="1355E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大(L)</w:t>
            </w:r>
          </w:p>
        </w:tc>
        <w:tc>
          <w:tcPr>
            <w:tcW w:w="2628" w:type="dxa"/>
            <w:vAlign w:val="center"/>
          </w:tcPr>
          <w:p w14:paraId="10F327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中(M)</w:t>
            </w:r>
          </w:p>
        </w:tc>
        <w:tc>
          <w:tcPr>
            <w:tcW w:w="2459" w:type="dxa"/>
            <w:vAlign w:val="center"/>
          </w:tcPr>
          <w:p w14:paraId="1582AE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小(S)</w:t>
            </w:r>
          </w:p>
        </w:tc>
      </w:tr>
      <w:tr w14:paraId="1D212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11" w:type="dxa"/>
            <w:vAlign w:val="center"/>
          </w:tcPr>
          <w:p w14:paraId="1AE91A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花球（包括花茎）高度/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cm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   ≤</w:t>
            </w:r>
          </w:p>
        </w:tc>
        <w:tc>
          <w:tcPr>
            <w:tcW w:w="6647" w:type="dxa"/>
            <w:gridSpan w:val="3"/>
            <w:vAlign w:val="center"/>
          </w:tcPr>
          <w:p w14:paraId="162ECB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20</w:t>
            </w:r>
          </w:p>
        </w:tc>
      </w:tr>
      <w:tr w14:paraId="443AC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11" w:type="dxa"/>
            <w:vAlign w:val="center"/>
          </w:tcPr>
          <w:p w14:paraId="58AB65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花球最大直径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cm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eastAsia="zh-CN" w:bidi="ar"/>
              </w:rPr>
              <w:t>）</w:t>
            </w:r>
          </w:p>
        </w:tc>
        <w:tc>
          <w:tcPr>
            <w:tcW w:w="1560" w:type="dxa"/>
            <w:vAlign w:val="center"/>
          </w:tcPr>
          <w:p w14:paraId="17A88B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＞17</w:t>
            </w:r>
          </w:p>
        </w:tc>
        <w:tc>
          <w:tcPr>
            <w:tcW w:w="2628" w:type="dxa"/>
            <w:vAlign w:val="center"/>
          </w:tcPr>
          <w:p w14:paraId="0DF9FC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14~17</w:t>
            </w:r>
          </w:p>
        </w:tc>
        <w:tc>
          <w:tcPr>
            <w:tcW w:w="2459" w:type="dxa"/>
            <w:vAlign w:val="center"/>
          </w:tcPr>
          <w:p w14:paraId="46D1E9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 w:bidi="ar"/>
              </w:rPr>
              <w:t>＜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</w:tr>
    </w:tbl>
    <w:p w14:paraId="4F48CD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default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1BB501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41B356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4.5  容许度要求</w:t>
      </w:r>
    </w:p>
    <w:p w14:paraId="31D363D5">
      <w:pPr>
        <w:wordWrap/>
        <w:jc w:val="right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T/SZNB XXXXX-XXXX</w:t>
      </w:r>
    </w:p>
    <w:p w14:paraId="6E0966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4.5.1</w:t>
      </w:r>
      <w:r>
        <w:rPr>
          <w:rFonts w:hint="default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0"/>
          <w:szCs w:val="20"/>
          <w:lang w:val="en-US" w:eastAsia="zh-CN"/>
        </w:rPr>
        <w:t>感官要求等级允许误差</w:t>
      </w:r>
    </w:p>
    <w:p w14:paraId="4AFB43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7446B5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4.5.1.1</w:t>
      </w:r>
      <w:r>
        <w:rPr>
          <w:rFonts w:hint="default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按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件数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计，A+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等级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允许有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2件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产品不符合该等级的要求，但应符合A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等级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的要求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；</w:t>
      </w:r>
    </w:p>
    <w:p w14:paraId="7A101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4.5.1.2</w:t>
      </w:r>
      <w:r>
        <w:rPr>
          <w:rFonts w:hint="default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按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件数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计，A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等级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允许有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3件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产品不符合该等级的要求，但应符合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级的要求。</w:t>
      </w:r>
    </w:p>
    <w:p w14:paraId="50CC1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0545E9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4.5.2</w:t>
      </w:r>
      <w:r>
        <w:rPr>
          <w:rFonts w:hint="default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0"/>
          <w:szCs w:val="20"/>
          <w:lang w:val="en-US" w:eastAsia="zh-CN"/>
        </w:rPr>
        <w:t>规格要求允许误差</w:t>
      </w:r>
    </w:p>
    <w:p w14:paraId="10F35F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023FB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default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按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件数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计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各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规格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允许有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3件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产品不符合该规格的要求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。</w:t>
      </w:r>
    </w:p>
    <w:p w14:paraId="194A2B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64B1CA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4.6  净含量要求</w:t>
      </w:r>
    </w:p>
    <w:p w14:paraId="455B7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08CA7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outlineLvl w:val="9"/>
        <w:rPr>
          <w:rFonts w:hint="default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应符合国家市场监督管理总局令2023年第70号《定量包装商品计量监督管理办法》的规定。</w:t>
      </w:r>
    </w:p>
    <w:p w14:paraId="224A33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default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39F2D8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21C59D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0"/>
        <w:rPr>
          <w:rFonts w:hint="default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bookmarkStart w:id="6" w:name="_Toc13097"/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5  检验方法</w:t>
      </w:r>
      <w:bookmarkEnd w:id="6"/>
    </w:p>
    <w:p w14:paraId="134916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default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35FF0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5.1  检验程序</w:t>
      </w:r>
    </w:p>
    <w:p w14:paraId="42019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default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14D09D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供试样品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逐件进行感官要求、规格要求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检验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，随后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随机抽取有代表性样品，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进行安全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要求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、品质分级要求（感官要求除外）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检验。</w:t>
      </w:r>
    </w:p>
    <w:p w14:paraId="50A3F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4C6D18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5.2  追溯要求检验</w:t>
      </w:r>
    </w:p>
    <w:p w14:paraId="0E3AD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default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2F22EC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查看产品或包装是否具有承诺达标合格证或其它追溯码，扫码查看是否追溯至种植基地。</w:t>
      </w:r>
    </w:p>
    <w:p w14:paraId="2B9AC7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13D038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5.3  安全要求检验</w:t>
      </w:r>
    </w:p>
    <w:p w14:paraId="20F71C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default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61CCA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5.3.1</w:t>
      </w:r>
      <w:r>
        <w:rPr>
          <w:rFonts w:hint="default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0"/>
          <w:szCs w:val="20"/>
          <w:lang w:val="en-US" w:eastAsia="zh-CN"/>
        </w:rPr>
        <w:t>污染物</w:t>
      </w:r>
    </w:p>
    <w:p w14:paraId="43A4BA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0527CC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按照GB 2762规定的方法检验。</w:t>
      </w:r>
    </w:p>
    <w:p w14:paraId="577A0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default" w:ascii="黑体" w:hAnsi="黑体" w:eastAsia="黑体" w:cs="黑体"/>
          <w:sz w:val="20"/>
          <w:szCs w:val="20"/>
          <w:lang w:val="en-US" w:eastAsia="zh-CN"/>
        </w:rPr>
      </w:pPr>
    </w:p>
    <w:p w14:paraId="66208F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5.3.2</w:t>
      </w:r>
      <w:r>
        <w:rPr>
          <w:rFonts w:hint="default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0"/>
          <w:szCs w:val="20"/>
          <w:lang w:val="en-US" w:eastAsia="zh-CN"/>
        </w:rPr>
        <w:t>农药最大残留限量</w:t>
      </w:r>
    </w:p>
    <w:p w14:paraId="42E7B5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11EF1A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按照GB 2763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GB 2763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.1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规定的方法检验。</w:t>
      </w:r>
    </w:p>
    <w:p w14:paraId="3007E9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12F263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5.4  品质分级要求检验</w:t>
      </w:r>
    </w:p>
    <w:p w14:paraId="4EDAEE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default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2AC9A6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5.4.1</w:t>
      </w:r>
      <w:r>
        <w:rPr>
          <w:rFonts w:hint="default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0"/>
          <w:szCs w:val="20"/>
          <w:lang w:val="en-US" w:eastAsia="zh-CN"/>
        </w:rPr>
        <w:t>感官要求</w:t>
      </w:r>
    </w:p>
    <w:p w14:paraId="55B60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26214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按照分级要求逐项检查，将花球放在洁净的搪瓷盘中，在自然光下用肉眼观察样品的形状、色泽、新鲜度、清洁度、成熟度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、完整性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等。</w:t>
      </w:r>
    </w:p>
    <w:p w14:paraId="2A21F1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1B69C5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5.4.2</w:t>
      </w:r>
      <w:r>
        <w:rPr>
          <w:rFonts w:hint="default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0"/>
          <w:szCs w:val="20"/>
          <w:lang w:val="en-US" w:eastAsia="zh-CN"/>
        </w:rPr>
        <w:t>烹调性能</w:t>
      </w:r>
    </w:p>
    <w:p w14:paraId="28EE5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6E3E1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西兰花花球分朵（直径3-5cm），洗净后沥干备用。沸水中加入几滴食用油和盐（水盐比100:1），投入西兰花焯烫90秒，捞起后立即过凉水，置于白色瓷盘中，按照分级条件逐项检查颜色、口感、滋味以及气味。</w:t>
      </w:r>
    </w:p>
    <w:p w14:paraId="68AE90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4C744E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5.4.3</w:t>
      </w:r>
      <w:r>
        <w:rPr>
          <w:rFonts w:hint="default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0"/>
          <w:szCs w:val="20"/>
          <w:lang w:val="en-US" w:eastAsia="zh-CN"/>
        </w:rPr>
        <w:t>水分</w:t>
      </w:r>
    </w:p>
    <w:p w14:paraId="7D4B1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7D4E09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按照GB 5009.3规定的方法检验。</w:t>
      </w:r>
    </w:p>
    <w:p w14:paraId="754397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533B56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5.4.4</w:t>
      </w:r>
      <w:r>
        <w:rPr>
          <w:rFonts w:hint="default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0"/>
          <w:szCs w:val="20"/>
          <w:lang w:val="en-US" w:eastAsia="zh-CN"/>
        </w:rPr>
        <w:t>膳食纤维</w:t>
      </w:r>
    </w:p>
    <w:p w14:paraId="7B67D9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20183FB6">
      <w:pPr>
        <w:wordWrap/>
        <w:jc w:val="right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T/SZNB XXXXX-XXXX</w:t>
      </w:r>
    </w:p>
    <w:p w14:paraId="3AB360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按照GB 5009.88规定的方法检验。</w:t>
      </w:r>
    </w:p>
    <w:p w14:paraId="25D4E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27DBA4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5.4.5</w:t>
      </w:r>
      <w:r>
        <w:rPr>
          <w:rFonts w:hint="default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0"/>
          <w:szCs w:val="20"/>
          <w:lang w:val="en-US" w:eastAsia="zh-CN"/>
        </w:rPr>
        <w:t>蛋白质</w:t>
      </w:r>
    </w:p>
    <w:p w14:paraId="402548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707B7A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按照GB 5009.5规定的方法检验。</w:t>
      </w:r>
    </w:p>
    <w:p w14:paraId="11B222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53DC2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5.4.6</w:t>
      </w:r>
      <w:r>
        <w:rPr>
          <w:rFonts w:hint="default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0"/>
          <w:szCs w:val="20"/>
          <w:lang w:val="en-US" w:eastAsia="zh-CN"/>
        </w:rPr>
        <w:t>维生素C</w:t>
      </w:r>
    </w:p>
    <w:p w14:paraId="1C7E86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610B09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按照GB 5009.86规定的方法检验。</w:t>
      </w:r>
    </w:p>
    <w:p w14:paraId="0B41E1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72CD7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5.5  规格要求检验</w:t>
      </w:r>
    </w:p>
    <w:p w14:paraId="22B119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default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4BB943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sz w:val="20"/>
          <w:szCs w:val="2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5.5.1</w:t>
      </w:r>
      <w:r>
        <w:rPr>
          <w:rFonts w:hint="default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0"/>
          <w:szCs w:val="20"/>
          <w:lang w:val="en-US" w:eastAsia="zh-CN"/>
        </w:rPr>
        <w:t>花球（包括花茎）高度、花球最大直径</w:t>
      </w:r>
    </w:p>
    <w:p w14:paraId="3DE359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607628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用精度1 mm的尺量。</w:t>
      </w:r>
    </w:p>
    <w:p w14:paraId="151DB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443AE7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5.6  净含量要求检验</w:t>
      </w:r>
    </w:p>
    <w:p w14:paraId="48E776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2CD32C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按J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J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F 1070规定执行。</w:t>
      </w:r>
    </w:p>
    <w:p w14:paraId="4595D5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7EE7DE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5C54E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0"/>
        <w:rPr>
          <w:rFonts w:hint="default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bookmarkStart w:id="7" w:name="_Toc19857"/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6  检验规则</w:t>
      </w:r>
      <w:bookmarkEnd w:id="7"/>
    </w:p>
    <w:p w14:paraId="24BADB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default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292215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6.1  组批规则</w:t>
      </w:r>
    </w:p>
    <w:p w14:paraId="15B194C5">
      <w:pPr>
        <w:wordWrap/>
        <w:jc w:val="right"/>
        <w:rPr>
          <w:rFonts w:hint="default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2F3AB7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同一等级、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同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  <w:t>产地或进货渠道、同一品种、同时采收或收购的产品作为一个检验批次。</w:t>
      </w:r>
    </w:p>
    <w:p w14:paraId="623280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0F64FA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6.2  抽样方法</w:t>
      </w:r>
    </w:p>
    <w:p w14:paraId="5160A9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default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134E5F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按照NY/T 2103的规定执行。</w:t>
      </w:r>
    </w:p>
    <w:p w14:paraId="062C07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4163A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6.3  判定规则</w:t>
      </w:r>
    </w:p>
    <w:p w14:paraId="07A58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default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bookmarkStart w:id="11" w:name="_GoBack"/>
      <w:bookmarkEnd w:id="11"/>
    </w:p>
    <w:p w14:paraId="7FF83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 xml:space="preserve">6.3.1 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 xml:space="preserve"> 进行等级划分的基本条件是：污染物限量和农药最大残留限量应符合本文件规定的基本要求，否则等级评定无效。</w:t>
      </w:r>
    </w:p>
    <w:p w14:paraId="2B79E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 xml:space="preserve">6.3.2  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根据品质分级要求各单项等级综合评定该批次西兰花的等级；如各单项等级不一致时，以最低等级作为该批次样品等级综合评定结果。</w:t>
      </w:r>
    </w:p>
    <w:p w14:paraId="48D31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767161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7F1C50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0"/>
        <w:rPr>
          <w:rFonts w:hint="default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bookmarkStart w:id="8" w:name="_Toc25886"/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7  包装</w:t>
      </w:r>
      <w:bookmarkEnd w:id="8"/>
    </w:p>
    <w:p w14:paraId="2CC74D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default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049D8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7.1  基本要求</w:t>
      </w:r>
    </w:p>
    <w:p w14:paraId="7F99C9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default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5411C4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同一包装内西兰花的品种、等级、规格应一致。包装内的产品可视部分应具有整个包装产品的代表性。</w:t>
      </w:r>
    </w:p>
    <w:p w14:paraId="41E82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1471A6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7.2  包装方式</w:t>
      </w:r>
    </w:p>
    <w:p w14:paraId="19EC26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default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2CD802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根据包装箱规格采用直立或水平排列方式包装。</w:t>
      </w:r>
    </w:p>
    <w:p w14:paraId="1902A91C">
      <w:pPr>
        <w:wordWrap/>
        <w:jc w:val="right"/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58FA34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7.3  包装材料</w:t>
      </w:r>
    </w:p>
    <w:p w14:paraId="52926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default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694F3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right"/>
        <w:textAlignment w:val="auto"/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T/SZNB XXXXX-XXXX</w:t>
      </w:r>
    </w:p>
    <w:p w14:paraId="3B0DCD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包装材料应无污染、无异味；牢固、耐压，适宜搬运、运输。使用的瓦楞纸箱应符合GB/T 6543的要求，使用的塑料包装材料应符合GB 4806.7的要求。</w:t>
      </w:r>
    </w:p>
    <w:p w14:paraId="6D2494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76831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2F91F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0"/>
        <w:rPr>
          <w:rFonts w:hint="default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bookmarkStart w:id="9" w:name="_Toc1180"/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8  标签与标识</w:t>
      </w:r>
      <w:bookmarkEnd w:id="9"/>
    </w:p>
    <w:p w14:paraId="3CC224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default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1E099C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 xml:space="preserve">8.1  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外包装储运图示标志应符合GB/T 191的规定。</w:t>
      </w:r>
    </w:p>
    <w:p w14:paraId="3F72CD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 xml:space="preserve">8.2  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包装箱上应有明显标识，标识内容及要求应符合NY/T 941的规定。</w:t>
      </w:r>
    </w:p>
    <w:p w14:paraId="1D8FD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6E64CB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20E728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0"/>
        <w:rPr>
          <w:rFonts w:hint="default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  <w:bookmarkStart w:id="10" w:name="_Toc25699"/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>9  贮存与运输</w:t>
      </w:r>
      <w:bookmarkEnd w:id="10"/>
    </w:p>
    <w:p w14:paraId="02AA95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default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</w:pPr>
    </w:p>
    <w:p w14:paraId="6A4307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 xml:space="preserve">9.1  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宜贮存在温度0℃±1.0℃、相对湿度90%～95%的条件下，库内堆码时应离墙离地至少10cm，并保证气流均匀流通，严禁露天堆放、日晒、雨淋或靠近热源。产品不得与有毒、有害、有腐蚀性、易挥发或有异味的物品同库贮存。</w:t>
      </w:r>
    </w:p>
    <w:p w14:paraId="466D7D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0"/>
          <w:szCs w:val="20"/>
          <w:u w:val="none"/>
          <w:lang w:val="en-US" w:eastAsia="zh-CN"/>
        </w:rPr>
        <w:t xml:space="preserve">9.2  </w:t>
      </w:r>
      <w:r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  <w:t>运输工具应清洁、卫生，保持干燥、洁净，不得与有毒、有害、有腐蚀性、易挥发或有异味的物品混装运输，不得曝晒、雨淋、受潮。搬运时应轻拿轻放，严禁扔摔、撞击、挤压。</w:t>
      </w:r>
    </w:p>
    <w:p w14:paraId="2F6FC449">
      <w:pPr>
        <w:pStyle w:val="8"/>
        <w:tabs>
          <w:tab w:val="left" w:pos="6268"/>
        </w:tabs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color w:val="auto"/>
        </w:rPr>
        <w:drawing>
          <wp:inline distT="0" distB="0" distL="114935" distR="114935">
            <wp:extent cx="1602105" cy="342265"/>
            <wp:effectExtent l="0" t="0" r="13335" b="8255"/>
            <wp:docPr id="1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02105" cy="342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769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55935F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7B4B70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4215B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486F6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p w14:paraId="684C00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40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0"/>
          <w:szCs w:val="20"/>
          <w:u w:val="none"/>
          <w:lang w:val="en-US" w:eastAsia="zh-CN"/>
        </w:rPr>
      </w:pPr>
    </w:p>
    <w:sectPr>
      <w:footerReference r:id="rId4" w:type="default"/>
      <w:pgSz w:w="11906" w:h="16838"/>
      <w:pgMar w:top="1440" w:right="1080" w:bottom="1440" w:left="108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BE6EE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7A21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1B756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1B756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0OTUyZGM1MDY2MDNlODU4MmU0ODYwMGU4NTlhOTMifQ=="/>
  </w:docVars>
  <w:rsids>
    <w:rsidRoot w:val="00172A27"/>
    <w:rsid w:val="00C923CA"/>
    <w:rsid w:val="012A5454"/>
    <w:rsid w:val="04AE18D1"/>
    <w:rsid w:val="054C7F4A"/>
    <w:rsid w:val="09A950D4"/>
    <w:rsid w:val="0A8530D4"/>
    <w:rsid w:val="0AB22670"/>
    <w:rsid w:val="11405FA6"/>
    <w:rsid w:val="142B0848"/>
    <w:rsid w:val="187077B5"/>
    <w:rsid w:val="18A20777"/>
    <w:rsid w:val="1A440C91"/>
    <w:rsid w:val="1D2D666C"/>
    <w:rsid w:val="1E2C658F"/>
    <w:rsid w:val="1EB76E7B"/>
    <w:rsid w:val="1FC40EDE"/>
    <w:rsid w:val="254026D2"/>
    <w:rsid w:val="317A57A7"/>
    <w:rsid w:val="31BB7257"/>
    <w:rsid w:val="38D64977"/>
    <w:rsid w:val="3C9708C1"/>
    <w:rsid w:val="3FB377C0"/>
    <w:rsid w:val="3FF412EF"/>
    <w:rsid w:val="467A3826"/>
    <w:rsid w:val="489363E0"/>
    <w:rsid w:val="497E0E3E"/>
    <w:rsid w:val="4E12415A"/>
    <w:rsid w:val="518E2F5E"/>
    <w:rsid w:val="51B32EC0"/>
    <w:rsid w:val="57FF75EE"/>
    <w:rsid w:val="5E2B6979"/>
    <w:rsid w:val="5EB64043"/>
    <w:rsid w:val="62713F31"/>
    <w:rsid w:val="66212E26"/>
    <w:rsid w:val="6A5247FE"/>
    <w:rsid w:val="6AA77490"/>
    <w:rsid w:val="6C861C34"/>
    <w:rsid w:val="6E567A37"/>
    <w:rsid w:val="6F5778B8"/>
    <w:rsid w:val="764741E2"/>
    <w:rsid w:val="767862DF"/>
    <w:rsid w:val="77B265EF"/>
    <w:rsid w:val="77D726AA"/>
    <w:rsid w:val="7AEE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oc 1"/>
    <w:basedOn w:val="1"/>
    <w:next w:val="1"/>
    <w:qFormat/>
    <w:uiPriority w:val="0"/>
  </w:style>
  <w:style w:type="paragraph" w:customStyle="1" w:styleId="7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  <w:style w:type="paragraph" w:customStyle="1" w:styleId="8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9">
    <w:name w:val="font1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2616</Words>
  <Characters>3188</Characters>
  <Lines>0</Lines>
  <Paragraphs>0</Paragraphs>
  <TotalTime>57</TotalTime>
  <ScaleCrop>false</ScaleCrop>
  <LinksUpToDate>false</LinksUpToDate>
  <CharactersWithSpaces>3552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2024-09-27T06:53:00Z</dcterms:created>
  <dc:creator>Fafa</dc:creator>
  <cp:lastModifiedBy>CTT.</cp:lastModifiedBy>
  <dcterms:modified xsi:type="dcterms:W3CDTF">2025-08-20T10:15:40Z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05C4E0C7784A49ADABCE474D52AD5EA4_13</vt:lpwstr>
  </property>
  <property fmtid="{D5CDD505-2E9C-101B-9397-08002B2CF9AE}" pid="4" name="KSOTemplateDocerSaveRecord">
    <vt:lpwstr>eyJoZGlkIjoiODViY2JkMjU3NGYzZTEwMzZmMGFkZWViYmNkYWU3NDIiLCJ1c2VySWQiOiIzMTc0MjkyOTkifQ==</vt:lpwstr>
  </property>
</Properties>
</file>